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8C" w:rsidRPr="00BC02B6" w:rsidRDefault="000E488C" w:rsidP="000E48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Pr="00BC02B6">
        <w:rPr>
          <w:rFonts w:ascii="12" w:eastAsia="Times New Roman" w:hAnsi="12" w:cs="Times New Roman"/>
          <w:b/>
          <w:sz w:val="28"/>
          <w:szCs w:val="20"/>
          <w:lang w:eastAsia="ru-RU"/>
        </w:rPr>
        <w:t xml:space="preserve">ндивидуальный подход в закаливании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детей дошкольного возраста.</w:t>
      </w:r>
      <w:bookmarkStart w:id="0" w:name="_GoBack"/>
      <w:bookmarkEnd w:id="0"/>
    </w:p>
    <w:p w:rsidR="000E488C" w:rsidRPr="00BC02B6" w:rsidRDefault="000E488C" w:rsidP="000E48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E488C" w:rsidRPr="00BC02B6" w:rsidRDefault="000E488C" w:rsidP="000E488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Впервые на необходимость индивидуального подхода в процессе закаливания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указал Г.Н. Сперанский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книге «Закаливание детского организма». Им были предложены принципы закаливания детей, среди которых принцип учета индивидуальных 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обенностей ребенка. Е.А. Аркин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книге «Ребенок в дошкольные годы» дополнил этот принцип рядом условий: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необходима предварительная подготовка организма для закаливания;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нужна большая осторожность в первых шагах закаливания, т.е. при применении закаливания к ребенку впервые;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требуется </w:t>
      </w:r>
      <w:proofErr w:type="gram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индивидуальными реакциями ребенка, который может быть осуществлен лишь при активном участии врача.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Исследования последующих авторов показали, что индивидуальный подход при закаливании предполагает учет состояния здоровья ребенка, типологических особенностей нервной системы, типа терморегуляции. 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Поголий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выделяет группу детей с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холодовой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гиперчувствительностью, которая представляет собой реакции организма в виде крапивницы, отеков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Квинке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приступов удушья и других проявлений, возникающих в ответ на воздействие низких температур. Согласно современным представлениям, основу патологического процесса составляют аллергические механизмы. Учитывая, что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аллергизация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детского населения возрастает, изменение реактивности организма при воздействии 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холодового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раздражителя представляет собой серьезную педиатрическую проблему.</w:t>
      </w:r>
    </w:p>
    <w:p w:rsidR="000E488C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Е.Г.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Леви-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Гориневская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А.И. Быкова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отметили различие реакций на обливание холодной водой в зависимости от общего состояния организма: у детей ослабленных, отстающих в физическом развитии от возрастных норм, вторая фаза сосудистой реакции (расширение сосудов), следующая за их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кратковременным спазмом, отсутствовала или наступала поздно и была слабо выраж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ена. Исследование О.А. Гуровой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кожной микроциркуляции у часто болеющих детей показало наличие спастических и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спастико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-атонических сосудистых состояний.  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детей с проблемами здоровья, отнесенных у второй или третьей группе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вырабатывается режим закаливания исходя из того, что закаливающий эффект формируется дольше. Конечная температура воздуха и воды при закаливании может быть на 2-4 выше, чем в 1 подгруппе. Температуру действующего фактора следует снижать постепенно: через 3-4 дня при местном воздействии и через 5-6 дней при общем, или же уменьшить время его действия.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Учитывая индивидуальный подход  при организации закаливания, С.И.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Л.И.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Лигидова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предлагают вести тетрадь закаливающих процедур в группе по следующей схеме: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Таблица 7</w:t>
      </w: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618"/>
        <w:gridCol w:w="1761"/>
        <w:gridCol w:w="496"/>
        <w:gridCol w:w="496"/>
        <w:gridCol w:w="496"/>
        <w:gridCol w:w="496"/>
        <w:gridCol w:w="496"/>
        <w:gridCol w:w="561"/>
        <w:gridCol w:w="1243"/>
        <w:gridCol w:w="2025"/>
      </w:tblGrid>
      <w:tr w:rsidR="000E488C" w:rsidRPr="00BC02B6" w:rsidTr="00217CAE">
        <w:trPr>
          <w:cantSplit/>
        </w:trPr>
        <w:tc>
          <w:tcPr>
            <w:tcW w:w="1198" w:type="dxa"/>
            <w:vMerge w:val="restart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Группа</w:t>
            </w:r>
          </w:p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закали-</w:t>
            </w:r>
          </w:p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618" w:type="dxa"/>
            <w:vMerge w:val="restart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N</w:t>
            </w:r>
          </w:p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vMerge w:val="restart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</w:t>
            </w:r>
          </w:p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имя</w:t>
            </w:r>
          </w:p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ребенка</w:t>
            </w:r>
          </w:p>
        </w:tc>
        <w:tc>
          <w:tcPr>
            <w:tcW w:w="4284" w:type="dxa"/>
            <w:gridSpan w:val="7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Вид закаливания</w:t>
            </w:r>
          </w:p>
        </w:tc>
        <w:tc>
          <w:tcPr>
            <w:tcW w:w="2025" w:type="dxa"/>
            <w:vMerge w:val="restart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Примечание</w:t>
            </w:r>
          </w:p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(причины</w:t>
            </w:r>
            <w:proofErr w:type="gramEnd"/>
          </w:p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пропуска</w:t>
            </w:r>
          </w:p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закаливающих</w:t>
            </w:r>
          </w:p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процедур)</w:t>
            </w:r>
          </w:p>
        </w:tc>
      </w:tr>
      <w:tr w:rsidR="000E488C" w:rsidRPr="00BC02B6" w:rsidTr="00217CAE">
        <w:trPr>
          <w:cantSplit/>
        </w:trPr>
        <w:tc>
          <w:tcPr>
            <w:tcW w:w="1198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8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61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84" w:type="dxa"/>
            <w:gridSpan w:val="7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Месяц</w:t>
            </w:r>
          </w:p>
        </w:tc>
        <w:tc>
          <w:tcPr>
            <w:tcW w:w="2025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488C" w:rsidRPr="00BC02B6" w:rsidTr="00217CAE">
        <w:trPr>
          <w:cantSplit/>
        </w:trPr>
        <w:tc>
          <w:tcPr>
            <w:tcW w:w="1198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8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61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84" w:type="dxa"/>
            <w:gridSpan w:val="7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Числа</w:t>
            </w:r>
          </w:p>
        </w:tc>
        <w:tc>
          <w:tcPr>
            <w:tcW w:w="2025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488C" w:rsidRPr="00BC02B6" w:rsidTr="00217CAE">
        <w:trPr>
          <w:cantSplit/>
        </w:trPr>
        <w:tc>
          <w:tcPr>
            <w:tcW w:w="1198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8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61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61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43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 и т.д.</w:t>
            </w:r>
          </w:p>
        </w:tc>
        <w:tc>
          <w:tcPr>
            <w:tcW w:w="2025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488C" w:rsidRPr="00BC02B6" w:rsidTr="00217CAE">
        <w:trPr>
          <w:cantSplit/>
        </w:trPr>
        <w:tc>
          <w:tcPr>
            <w:tcW w:w="1198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8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61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84" w:type="dxa"/>
            <w:gridSpan w:val="7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Температура воды</w:t>
            </w:r>
            <w:r w:rsidRPr="00BC02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0"/>
            </w: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gramStart"/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025" w:type="dxa"/>
            <w:vMerge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488C" w:rsidRPr="00BC02B6" w:rsidTr="00217CAE">
        <w:trPr>
          <w:cantSplit/>
        </w:trPr>
        <w:tc>
          <w:tcPr>
            <w:tcW w:w="1198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</w:p>
        </w:tc>
        <w:tc>
          <w:tcPr>
            <w:tcW w:w="618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1</w:t>
            </w:r>
          </w:p>
        </w:tc>
        <w:tc>
          <w:tcPr>
            <w:tcW w:w="1761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</w:t>
            </w: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Саша</w:t>
            </w: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496" w:type="dxa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496" w:type="dxa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496" w:type="dxa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496" w:type="dxa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496" w:type="dxa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561" w:type="dxa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243" w:type="dxa"/>
            <w:vAlign w:val="center"/>
          </w:tcPr>
          <w:p w:rsidR="000E488C" w:rsidRPr="00BC02B6" w:rsidRDefault="000E488C" w:rsidP="00217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02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 и т.д.</w:t>
            </w:r>
          </w:p>
        </w:tc>
        <w:tc>
          <w:tcPr>
            <w:tcW w:w="2025" w:type="dxa"/>
          </w:tcPr>
          <w:p w:rsidR="000E488C" w:rsidRPr="00BC02B6" w:rsidRDefault="000E488C" w:rsidP="00217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мере закаливания, но не раньше, чем через 2 месяца, ребенка переводят из одной подгруппы в другую. Основанием для перевода служат следующие показатели: отсутствие в этот период острых заболеваний, положительная эмоциональная реакция ребенка на процедуру, отсутствие отрицательных внешних признаков на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холодовой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раздражитель (выраженная одышка, резкое учащение сердцебиения, появление «гусиной кожи»).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О.Т. Тарасова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изучала реакции организма детей 6-7 лет на холодные водные процедуры с учетом типологических особенностей нервной системы.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Было отмечено, что закаливание происходит быстрее и эффективнее у детей, обладающих чертами сильного и уравновешенного типа высшей нервной деятельности. У детей слабого типа на протяжении всего наблюдаемого периода отмечались значительные отклонения кожной температуры в ответ на действие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холодового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раздражителя. Условно рефлекторная реакция на действие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холодового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раздражителя у этих детей вырабатывалась с большим опозданием и была слабо выраженной, весьма нестойкой.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В.П.Спириной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установлено, что закаливание детей с достаточной силой и уравновешенностью нервных процессов полезно проводить более быстрыми темпами по сравнению с закаливанием детей, в поведении которых обнаруживаются признаки слабости нервных процессов. Если у ребенка преобладает возбуждение, полезно проводить с ним успокаивающие процедуры, а если преобладает торможение, то наоборот, бодрящие.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Для оценки индивидуальных возможностей физической 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ерморегуляции Г.В. Терентьевой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предложены показатели лабильности (</w:t>
      </w:r>
      <w:proofErr w:type="gram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ПЛ</w:t>
      </w:r>
      <w:proofErr w:type="gram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качества (ПК). </w:t>
      </w:r>
      <w:proofErr w:type="gram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ПЛ</w:t>
      </w:r>
      <w:proofErr w:type="gram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отражает силу и скорость восстановления кожно-сосудистых реакций (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к.с.р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.) в месте приложения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холодового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раздражителя. Он представляет собой отношение величины снижения температуры кожи на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холодовой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раздражитель к общему времени ее восстановления. ПК - это отношение времени быстрого восстановления температуры кожи (за 30 с более чем на 0,5</w:t>
      </w:r>
      <w:r w:rsidRPr="00BC02B6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0"/>
      </w:r>
      <w:r w:rsidRPr="00BC02B6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к общей продолжительности восстановительного периода. </w:t>
      </w:r>
    </w:p>
    <w:p w:rsidR="000E488C" w:rsidRPr="00BC02B6" w:rsidRDefault="000E488C" w:rsidP="000E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Г.В. Терентьевой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определено, что различный уровень вегетативной реактивности и тренированности функции физической терморегуляции отдельных детей одного и того же возраста обуславливает существенные индивидуальные различия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терморегуляционных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сосудистых реакций на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холодовые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воздействия окружающей среды. При этом выделяется три типа реакций: сильный, слабый и неустойчивый. Сильный тип характеризуется реакциями, которые соответствуют или превышают средневозрастные нормативы, а изменения температуры кожи при нем 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адекватны изменениям метеорологических условий, При слабом типе отмечаются сниженные величины кожно-сосудистых реакций и неадекватные изменения температуры кожи. Неустойчивые реакции могут протекать как по сильному, так и по слабому типу. Число детей с сильным типом реакций увеличивается с возрастом: с 17 % среди младших до 26 % среди старших дошкольников, а частота неустойчивых реакций снижается с 70 % у детей младшего до 50 % у детей старшего возраста. Сходная динамика наблюдается у детей одного и того же возраста, получающих рациональное закаливание. Автором также установлена взаимосвязь индивидуальных типов терморегуляции с состоянием здоровья. У детей 1 группы здоровья преобладает сильный тип кожно-сосудистых реакций на </w:t>
      </w:r>
      <w:proofErr w:type="spellStart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холодовой</w:t>
      </w:r>
      <w:proofErr w:type="spellEnd"/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раздражитель, у детей 3 группы слабый.</w:t>
      </w:r>
    </w:p>
    <w:p w:rsidR="000E488C" w:rsidRPr="00BC02B6" w:rsidRDefault="000E488C" w:rsidP="000E488C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2B6">
        <w:rPr>
          <w:rFonts w:ascii="12" w:eastAsia="Times New Roman" w:hAnsi="12" w:cs="Times New Roman"/>
          <w:sz w:val="28"/>
          <w:szCs w:val="20"/>
          <w:lang w:eastAsia="ru-RU"/>
        </w:rPr>
        <w:t>Таким образом, закаливание улучшает индивидуальные показатели состояния физической терморегуляции.</w:t>
      </w:r>
      <w:r w:rsidRPr="00BC0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Грамотное проведение закаливания с учетом индивидуальных возможностей ребенка необходимо не только для совершенствования функциональных возможностей системы терморегуляции, которая обеспечивает приспособление организма к температурным воздействиям, но и для морфофункционального развития и снижения заболеваемости.</w:t>
      </w:r>
    </w:p>
    <w:p w:rsidR="00622D36" w:rsidRDefault="00622D36"/>
    <w:sectPr w:rsidR="0062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5171BAA" w:usb1="80515060" w:usb2="00000000" w:usb3="00000148" w:csb0="00000001" w:csb1="00C39D48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0D"/>
    <w:rsid w:val="000E488C"/>
    <w:rsid w:val="00622D36"/>
    <w:rsid w:val="00A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</cp:revision>
  <dcterms:created xsi:type="dcterms:W3CDTF">2019-11-25T10:14:00Z</dcterms:created>
  <dcterms:modified xsi:type="dcterms:W3CDTF">2019-11-25T10:14:00Z</dcterms:modified>
</cp:coreProperties>
</file>